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00E" w:rsidRDefault="007F600E" w:rsidP="007F600E">
      <w:pPr>
        <w:spacing w:before="100" w:beforeAutospacing="1" w:after="100" w:afterAutospacing="1"/>
        <w:jc w:val="center"/>
        <w:rPr>
          <w:b/>
        </w:rPr>
      </w:pPr>
      <w:r>
        <w:rPr>
          <w:b/>
        </w:rPr>
        <w:t>ПРЕПОРЪЧАН МОДЕЛ ЗА УПР</w:t>
      </w:r>
      <w:r w:rsidR="0021033A">
        <w:rPr>
          <w:b/>
        </w:rPr>
        <w:t>АВЛЕНИЕ НА СОФИЙСКИ УНИВЕРСИТЕТ</w:t>
      </w:r>
      <w:r>
        <w:rPr>
          <w:b/>
        </w:rPr>
        <w:br/>
      </w:r>
    </w:p>
    <w:p w:rsidR="007F600E" w:rsidRDefault="007F600E" w:rsidP="007F600E">
      <w:pPr>
        <w:spacing w:before="100" w:beforeAutospacing="1" w:after="100" w:afterAutospacing="1"/>
        <w:jc w:val="center"/>
        <w:rPr>
          <w:lang w:val="en-US"/>
        </w:rPr>
      </w:pPr>
      <w:r>
        <w:rPr>
          <w:b/>
        </w:rPr>
        <w:t>Борислав Тошев</w:t>
      </w:r>
      <w:r>
        <w:rPr>
          <w:b/>
        </w:rPr>
        <w:br/>
      </w:r>
    </w:p>
    <w:p w:rsidR="007F600E" w:rsidRDefault="007F600E" w:rsidP="007F600E">
      <w:pPr>
        <w:spacing w:before="100" w:beforeAutospacing="1" w:after="100" w:afterAutospacing="1"/>
      </w:pPr>
      <w:r>
        <w:t>Този модел за управление на държавните висши училища е предлаган и обсъждан в Министерството на образованието и науката.</w:t>
      </w:r>
    </w:p>
    <w:p w:rsidR="007F600E" w:rsidRDefault="007F600E" w:rsidP="007F600E">
      <w:pPr>
        <w:spacing w:before="100" w:beforeAutospacing="1" w:after="100" w:afterAutospacing="1"/>
      </w:pPr>
      <w:r>
        <w:t xml:space="preserve">Моето мнение сега: (1) Няма нужда от нови поправки към Закона за висшето образование от 1995 г. Има нужда от </w:t>
      </w:r>
      <w:r>
        <w:rPr>
          <w:b/>
          <w:bCs/>
        </w:rPr>
        <w:t>нов</w:t>
      </w:r>
      <w:r>
        <w:t xml:space="preserve"> Закон за висшето образование, основан върху представата, че висшето образование е </w:t>
      </w:r>
      <w:r>
        <w:rPr>
          <w:b/>
          <w:bCs/>
        </w:rPr>
        <w:t>обществено благо</w:t>
      </w:r>
      <w:r>
        <w:t xml:space="preserve">, което означава че всички врати за </w:t>
      </w:r>
      <w:proofErr w:type="spellStart"/>
      <w:r>
        <w:rPr>
          <w:b/>
          <w:bCs/>
        </w:rPr>
        <w:t>макдоналдизация</w:t>
      </w:r>
      <w:proofErr w:type="spellEnd"/>
      <w:r>
        <w:t xml:space="preserve"> на висшето образование в България трябва да бъдат затворени; (2) Няма нужда от нови поправки към Закона за развитие на академичния състав в България. Има нужда от </w:t>
      </w:r>
      <w:r>
        <w:rPr>
          <w:b/>
          <w:bCs/>
        </w:rPr>
        <w:t>нов</w:t>
      </w:r>
      <w:r>
        <w:t xml:space="preserve"> закон за академичната дейност, основан върху световните правила и стандарти за научна дейност с ясно посочване на правилата за документиране на получените нови научни резултати в световната система за научно публикуване. </w:t>
      </w:r>
    </w:p>
    <w:p w:rsidR="007F600E" w:rsidRDefault="007F600E" w:rsidP="007F600E">
      <w:pPr>
        <w:spacing w:before="100" w:beforeAutospacing="1" w:after="100" w:afterAutospacing="1"/>
      </w:pPr>
    </w:p>
    <w:p w:rsidR="007F600E" w:rsidRDefault="007F600E" w:rsidP="007F600E">
      <w:pPr>
        <w:spacing w:before="100" w:beforeAutospacing="1" w:after="100" w:afterAutospacing="1"/>
      </w:pPr>
      <w:r>
        <w:t>МОДЕЛ ЗА УПРАВЛЕНИЕ НА ДЪРЖАВНИТЕ ВИСШИ УЧИЛИЩА</w:t>
      </w:r>
    </w:p>
    <w:p w:rsidR="007F600E" w:rsidRDefault="007F600E" w:rsidP="007F600E">
      <w:pPr>
        <w:spacing w:before="100" w:beforeAutospacing="1" w:after="100" w:afterAutospacing="1"/>
      </w:pPr>
      <w:r>
        <w:t>ПРЕАМБЮЛ</w:t>
      </w:r>
    </w:p>
    <w:p w:rsidR="007F600E" w:rsidRDefault="007F600E" w:rsidP="007F600E">
      <w:pPr>
        <w:spacing w:before="100" w:beforeAutospacing="1"/>
      </w:pPr>
      <w:proofErr w:type="gramStart"/>
      <w:r>
        <w:rPr>
          <w:lang w:val="en-US"/>
        </w:rPr>
        <w:t>“</w:t>
      </w:r>
      <w:r>
        <w:rPr>
          <w:b/>
          <w:bCs/>
          <w:lang w:val="en-US"/>
        </w:rPr>
        <w:t>Education and research belong together</w:t>
      </w:r>
      <w:r>
        <w:rPr>
          <w:lang w:val="en-US"/>
        </w:rPr>
        <w:t xml:space="preserve">” – </w:t>
      </w:r>
      <w:r>
        <w:t>необходимостта от провеждане на световно разпознаваема научна дейност отличава висшето училище от всяка друга образователна или квалификационна структура.</w:t>
      </w:r>
      <w:proofErr w:type="gramEnd"/>
      <w:r>
        <w:t xml:space="preserve"> Разпознаваемата научна дейност и получаваните нови научни резултати носят престиж на изследователите, на институцията, в която работят, на страната; съпътстващо, само на тази основа, може да се подготвят специалисти с висока квалификация, така се изгражда и националната интелигенция – от университетите се определя технологичното и културното развитие на държавата. Целесъобразно е висшите училища да бъдат </w:t>
      </w:r>
      <w:proofErr w:type="spellStart"/>
      <w:r>
        <w:t>ситуирани</w:t>
      </w:r>
      <w:proofErr w:type="spellEnd"/>
      <w:r>
        <w:t xml:space="preserve"> на </w:t>
      </w:r>
      <w:r>
        <w:rPr>
          <w:i/>
          <w:iCs/>
        </w:rPr>
        <w:t>две образователни писти</w:t>
      </w:r>
      <w:r>
        <w:t xml:space="preserve"> – </w:t>
      </w:r>
      <w:r>
        <w:rPr>
          <w:i/>
          <w:iCs/>
        </w:rPr>
        <w:t>писта на пълните университети</w:t>
      </w:r>
      <w:r>
        <w:t xml:space="preserve"> и </w:t>
      </w:r>
      <w:r>
        <w:rPr>
          <w:i/>
          <w:iCs/>
        </w:rPr>
        <w:t>писта на по-тясно специализираните висши училища</w:t>
      </w:r>
      <w:r>
        <w:t xml:space="preserve">. </w:t>
      </w:r>
    </w:p>
    <w:p w:rsidR="007F600E" w:rsidRDefault="007F600E" w:rsidP="007F600E">
      <w:pPr>
        <w:spacing w:before="100" w:beforeAutospacing="1"/>
      </w:pPr>
      <w:r>
        <w:t> </w:t>
      </w:r>
    </w:p>
    <w:p w:rsidR="007F600E" w:rsidRDefault="007F600E" w:rsidP="007F600E">
      <w:pPr>
        <w:ind w:left="1134" w:firstLine="709"/>
      </w:pPr>
      <w:r>
        <w:t>Три са основните области на науката</w:t>
      </w:r>
      <w:r>
        <w:rPr>
          <w:i/>
          <w:iCs/>
        </w:rPr>
        <w:t>: природни науки (</w:t>
      </w:r>
      <w:r>
        <w:rPr>
          <w:i/>
          <w:iCs/>
          <w:lang w:val="en-US"/>
        </w:rPr>
        <w:t xml:space="preserve">science), </w:t>
      </w:r>
      <w:r>
        <w:rPr>
          <w:i/>
          <w:iCs/>
        </w:rPr>
        <w:t>обществени науки (</w:t>
      </w:r>
      <w:r>
        <w:rPr>
          <w:i/>
          <w:iCs/>
          <w:lang w:val="en-GB"/>
        </w:rPr>
        <w:t xml:space="preserve">social science) </w:t>
      </w:r>
      <w:r>
        <w:rPr>
          <w:i/>
          <w:iCs/>
        </w:rPr>
        <w:t>и хуманитарни науки (</w:t>
      </w:r>
      <w:r>
        <w:rPr>
          <w:i/>
          <w:iCs/>
          <w:lang w:val="en-GB"/>
        </w:rPr>
        <w:t xml:space="preserve">art and humanities). </w:t>
      </w:r>
      <w:r>
        <w:t xml:space="preserve">И трите области са представени в </w:t>
      </w:r>
      <w:r>
        <w:rPr>
          <w:i/>
          <w:iCs/>
        </w:rPr>
        <w:t>пълните</w:t>
      </w:r>
      <w:r>
        <w:t xml:space="preserve"> университети; една или две от тях са представени в </w:t>
      </w:r>
      <w:r>
        <w:rPr>
          <w:i/>
          <w:iCs/>
        </w:rPr>
        <w:t>специализираните висши училища. Природните науки</w:t>
      </w:r>
      <w:r>
        <w:t xml:space="preserve"> изследват неживата и живата природа, процесите в природата и възможните технологични развития; </w:t>
      </w:r>
      <w:r>
        <w:rPr>
          <w:i/>
          <w:iCs/>
        </w:rPr>
        <w:t>обществените науки</w:t>
      </w:r>
      <w:r>
        <w:t xml:space="preserve"> изследват обществото и процесите в обществените системи; </w:t>
      </w:r>
      <w:r>
        <w:rPr>
          <w:i/>
          <w:iCs/>
        </w:rPr>
        <w:t>хуманитарните науки</w:t>
      </w:r>
      <w:r>
        <w:t xml:space="preserve"> са насочени към разбиране на човека и неговата душа. </w:t>
      </w:r>
    </w:p>
    <w:p w:rsidR="007F600E" w:rsidRDefault="007F600E" w:rsidP="007F600E">
      <w:pPr>
        <w:spacing w:before="100" w:beforeAutospacing="1"/>
      </w:pPr>
      <w:r>
        <w:t> </w:t>
      </w:r>
    </w:p>
    <w:p w:rsidR="007F600E" w:rsidRDefault="007F600E" w:rsidP="007F600E">
      <w:pPr>
        <w:spacing w:before="100" w:beforeAutospacing="1"/>
      </w:pPr>
      <w:r>
        <w:t xml:space="preserve">Висшето образование в България е част от европейското образователно пространство. С Болонската декларация (1999 г.) българското висше образование е структурирано в </w:t>
      </w:r>
      <w:r>
        <w:lastRenderedPageBreak/>
        <w:t xml:space="preserve">три степени: </w:t>
      </w:r>
      <w:r>
        <w:rPr>
          <w:i/>
          <w:iCs/>
        </w:rPr>
        <w:t>образователно-квалификационна степен „бакалавър</w:t>
      </w:r>
      <w:r>
        <w:t>“ в 4 години (или 3 години) (</w:t>
      </w:r>
      <w:proofErr w:type="spellStart"/>
      <w:r>
        <w:t>широкопрофилно</w:t>
      </w:r>
      <w:proofErr w:type="spellEnd"/>
      <w:r>
        <w:t xml:space="preserve"> университетски тип образование, заменило стария модел на тесните квалификации и специализации (1947-1999)); </w:t>
      </w:r>
      <w:r>
        <w:rPr>
          <w:i/>
          <w:iCs/>
        </w:rPr>
        <w:t>образователно-квалификационна степен „магистър“</w:t>
      </w:r>
      <w:r>
        <w:t xml:space="preserve"> в 3 семестъра (допълнителна специализация и квалификация в определени тематични области, съобразени </w:t>
      </w:r>
      <w:r>
        <w:rPr>
          <w:b/>
          <w:bCs/>
        </w:rPr>
        <w:t>с научния капацитет</w:t>
      </w:r>
      <w:r>
        <w:t xml:space="preserve"> на висшето училище); </w:t>
      </w:r>
      <w:r>
        <w:rPr>
          <w:i/>
          <w:iCs/>
        </w:rPr>
        <w:t>образователна и научна степен „доктор“</w:t>
      </w:r>
      <w:r>
        <w:t xml:space="preserve"> в 3 години (подготовка на специалисти с най-висока квалификация за научния сектор, индустрията и икономиката; подготвят се единствено в пълните университети в области, в които университетът има акредитирани програми за обучение на студенти в първата и втората степен на висшето образование).</w:t>
      </w:r>
    </w:p>
    <w:p w:rsidR="007F600E" w:rsidRDefault="007F600E" w:rsidP="007F600E">
      <w:pPr>
        <w:spacing w:before="100" w:beforeAutospacing="1"/>
      </w:pPr>
      <w:r>
        <w:t> </w:t>
      </w:r>
    </w:p>
    <w:p w:rsidR="007F600E" w:rsidRDefault="007F600E" w:rsidP="007F600E">
      <w:pPr>
        <w:spacing w:before="100" w:beforeAutospacing="1"/>
      </w:pPr>
      <w:r>
        <w:t xml:space="preserve">Българските висши училища са </w:t>
      </w:r>
      <w:r>
        <w:rPr>
          <w:i/>
          <w:iCs/>
        </w:rPr>
        <w:t>автономни</w:t>
      </w:r>
      <w:r>
        <w:t xml:space="preserve"> – държавата или други обществени структури не се намесват в научния и учебния процес – няма намеса в научната проблематика и в начините на провеждане на научните изследвания и няма намеса в учебния процес относно вида и инструментите на неговата реализация. Но висшите </w:t>
      </w:r>
      <w:proofErr w:type="spellStart"/>
      <w:r>
        <w:t>училищя</w:t>
      </w:r>
      <w:proofErr w:type="spellEnd"/>
      <w:r>
        <w:t xml:space="preserve"> </w:t>
      </w:r>
      <w:r>
        <w:rPr>
          <w:i/>
          <w:iCs/>
        </w:rPr>
        <w:t>не се независими</w:t>
      </w:r>
      <w:r>
        <w:t xml:space="preserve"> от държавата и обществото – те са длъжни редовно да се отчитат за действията си и получените резултати в научната и образователната сфера пред тях.</w:t>
      </w:r>
    </w:p>
    <w:p w:rsidR="007F600E" w:rsidRDefault="007F600E" w:rsidP="007F600E">
      <w:pPr>
        <w:spacing w:before="100" w:beforeAutospacing="1"/>
      </w:pPr>
      <w:r>
        <w:t> </w:t>
      </w:r>
    </w:p>
    <w:p w:rsidR="007F600E" w:rsidRDefault="007F600E" w:rsidP="007F600E">
      <w:pPr>
        <w:spacing w:before="100" w:beforeAutospacing="1"/>
      </w:pPr>
      <w:r>
        <w:t>Нов закон за висшето образование трябва да определи единен модел за управление на държавните висши училища. Този модел (а и закона в неговата цялост) трябва утвърждава европейската същност на българското висше образование, произтичаща и от членството на България в Европейския съюз. Затова при конструирането на модела на управление на университетите и при определянето на останалите нормативни правила водещо начало трябва да има българската университетска традиция – част от европейската университетска традиция до 1947 г., и съвременната организация на висшето образование в останалите страни на Европейския съюз. Замърсяването на нормативната база на висшето образование с други елементи от образователни системи вън от Европа (в Азия, Америка или другаде) не е целесъобразно.</w:t>
      </w:r>
    </w:p>
    <w:p w:rsidR="007F600E" w:rsidRDefault="007F600E" w:rsidP="007F600E">
      <w:pPr>
        <w:spacing w:before="100" w:beforeAutospacing="1"/>
      </w:pPr>
      <w:r>
        <w:t> </w:t>
      </w:r>
    </w:p>
    <w:p w:rsidR="007F600E" w:rsidRDefault="007F600E" w:rsidP="007F600E">
      <w:pPr>
        <w:spacing w:before="100" w:beforeAutospacing="1"/>
      </w:pPr>
      <w:r>
        <w:t>ПРИМЕРЕН МОДЕЛ НА УПРАВЛЕНИЕ НА ДЪРЖАВНИТЕ ВИСШИ УЧИЛИЩА</w:t>
      </w:r>
    </w:p>
    <w:p w:rsidR="007F600E" w:rsidRDefault="007F600E" w:rsidP="007F600E">
      <w:pPr>
        <w:spacing w:before="100" w:beforeAutospacing="1"/>
      </w:pPr>
      <w:r>
        <w:t> </w:t>
      </w:r>
    </w:p>
    <w:p w:rsidR="007F600E" w:rsidRDefault="007F600E" w:rsidP="007F600E">
      <w:pPr>
        <w:spacing w:before="100" w:beforeAutospacing="1"/>
      </w:pPr>
      <w:r>
        <w:t>РЕКТОР И ПРОРЕКТОР</w:t>
      </w:r>
    </w:p>
    <w:p w:rsidR="007F600E" w:rsidRDefault="007F600E" w:rsidP="007F600E">
      <w:pPr>
        <w:spacing w:before="100" w:beforeAutospacing="1"/>
      </w:pPr>
      <w:r>
        <w:t xml:space="preserve">Ректорът е научно световно познат професор, глава на университетската власт, председател на академичния съвет. Научният престиж на ректора привнася международен и национален престиж към институцията, която той представя. Той се избира и назначава за срок от две години. За да се осигурят условия ректорът да насочи изцяло вниманието си към възходящото развитие на висшето училище и за да се избегне евентуален конфликт на интереси, ректорът в мандата му се освобождава от научна дейност, което, поради невъзможността за отделяне на научната от учебната дейност, го освобождава и от учебна дейност. След изтичане на мандата му, ректорът </w:t>
      </w:r>
      <w:r>
        <w:lastRenderedPageBreak/>
        <w:t>ще остане заместник-председател на академичния съвет в качеството му на Проректор. По този начин се осигурява приемственост в управлението на университета. Ако ректорът по научна квалификация е в областта, например, на природните науки, то проректорът ще бъде представител на обществените и хуманитарните науки. Проректорът председателства Академичния съвет при отсъствие на Ректора.</w:t>
      </w:r>
    </w:p>
    <w:p w:rsidR="007F600E" w:rsidRDefault="007F600E" w:rsidP="007F600E">
      <w:pPr>
        <w:spacing w:before="100" w:beforeAutospacing="1"/>
      </w:pPr>
      <w:r>
        <w:t> </w:t>
      </w:r>
    </w:p>
    <w:p w:rsidR="007F600E" w:rsidRDefault="007F600E" w:rsidP="007F600E">
      <w:pPr>
        <w:spacing w:before="100" w:beforeAutospacing="1"/>
      </w:pPr>
      <w:r>
        <w:t>АКАДЕМИЧЕН СЪВЕТ</w:t>
      </w:r>
    </w:p>
    <w:p w:rsidR="007F600E" w:rsidRDefault="007F600E" w:rsidP="007F600E">
      <w:pPr>
        <w:spacing w:before="100" w:beforeAutospacing="1"/>
      </w:pPr>
      <w:r>
        <w:t xml:space="preserve">Академичният съвет, освен ректора и проректора, включва деканите на факултети и представители на академичния състав на висшето училище. Академичният съвет е оперативен орган на управление на висшето училище. Неговият състав и отговорности се определя със специален правилник. </w:t>
      </w:r>
    </w:p>
    <w:p w:rsidR="007F600E" w:rsidRDefault="007F600E" w:rsidP="007F600E">
      <w:pPr>
        <w:spacing w:before="100" w:beforeAutospacing="1"/>
      </w:pPr>
      <w:r>
        <w:t> </w:t>
      </w:r>
    </w:p>
    <w:p w:rsidR="007F600E" w:rsidRDefault="007F600E" w:rsidP="007F600E">
      <w:pPr>
        <w:spacing w:before="100" w:beforeAutospacing="1"/>
      </w:pPr>
      <w:r>
        <w:t>ОБЩО СЪБРАНИЕ НА ВИСШЕТО УЧИЛИЩЕ</w:t>
      </w:r>
    </w:p>
    <w:p w:rsidR="007F600E" w:rsidRDefault="007F600E" w:rsidP="007F600E">
      <w:pPr>
        <w:spacing w:before="100" w:beforeAutospacing="1"/>
      </w:pPr>
      <w:r>
        <w:t>Общото събрание включва представители на професорите, доцентите, асистентите, студентите от всички степени на висшето образование и служителите на висшето училище. Неговият състав и отговорности се определят със специален правилник. Новоназначеният ректор докладва програмните си намерения за развитието на университета пред Общото събрание. В края на първата година и в края на втората година от мандата на ректор, той отчита пред общото събрание дейността си. Решенията на общото събрание се вземат с обикновено мнозинство. Един месец преди края на мандата на ректора Академичният съвет с абсолютно мнозинство (2/3 от състава) определя измежду най-възрастните професори новият председател на Общото събрание на висшето училище.</w:t>
      </w:r>
    </w:p>
    <w:p w:rsidR="007F600E" w:rsidRDefault="007F600E" w:rsidP="007F600E">
      <w:pPr>
        <w:spacing w:before="100" w:beforeAutospacing="1"/>
      </w:pPr>
      <w:r>
        <w:rPr>
          <w:lang w:val="en-GB"/>
        </w:rPr>
        <w:t> </w:t>
      </w:r>
    </w:p>
    <w:p w:rsidR="007F600E" w:rsidRDefault="007F600E" w:rsidP="007F600E">
      <w:pPr>
        <w:spacing w:before="100" w:beforeAutospacing="1"/>
      </w:pPr>
      <w:r>
        <w:t>РЕКТОРАТ</w:t>
      </w:r>
    </w:p>
    <w:p w:rsidR="007F600E" w:rsidRDefault="007F600E" w:rsidP="007F600E">
      <w:pPr>
        <w:spacing w:before="100" w:beforeAutospacing="1"/>
      </w:pPr>
      <w:r>
        <w:t xml:space="preserve">Канцеларията на Ректора е прието да се нарича Ректорат. В Ректората има две ключови фигури: Началник на канцеларията и Финансов квестор. </w:t>
      </w:r>
      <w:r>
        <w:rPr>
          <w:i/>
          <w:iCs/>
        </w:rPr>
        <w:t>Началникът на канцеларията</w:t>
      </w:r>
      <w:r>
        <w:t xml:space="preserve"> се посочва от Академичния съвет, но се назначава от Министъра на образованието и науката. Началникът на канцеларията не може да взема самостоятелни решения, но с него връзката на университета с Министерството става по-близка и действена, с което се гарантира спазването на законите при администрирането на висшето училище. </w:t>
      </w:r>
      <w:r>
        <w:rPr>
          <w:i/>
          <w:iCs/>
        </w:rPr>
        <w:t>Финансовият квестор</w:t>
      </w:r>
      <w:r>
        <w:t xml:space="preserve"> се назначава от Министъра на финансите. И той не може да взема самостоятелни решения, но с неговото присъствие се гарантира на Ректора, че използването от Университета на целевите държавни финансови средства е целесъобразно и е в съответствие със законите на страната. </w:t>
      </w:r>
    </w:p>
    <w:p w:rsidR="007F600E" w:rsidRDefault="007F600E" w:rsidP="007F600E">
      <w:pPr>
        <w:spacing w:before="100" w:beforeAutospacing="1"/>
      </w:pPr>
      <w:r>
        <w:t> </w:t>
      </w:r>
    </w:p>
    <w:p w:rsidR="007F600E" w:rsidRDefault="007F600E" w:rsidP="007F600E">
      <w:pPr>
        <w:spacing w:before="100" w:beforeAutospacing="1"/>
      </w:pPr>
      <w:r>
        <w:t>ОБЩЕСТВЕН СЪВЕТ И ИЗБОР НА НОВ РЕКТОР</w:t>
      </w:r>
    </w:p>
    <w:p w:rsidR="007F600E" w:rsidRDefault="007F600E" w:rsidP="007F600E">
      <w:pPr>
        <w:spacing w:before="100" w:beforeAutospacing="1"/>
      </w:pPr>
      <w:r>
        <w:lastRenderedPageBreak/>
        <w:t xml:space="preserve">Общественият съвет е отговорен за стратегическия контрол върху висшето училище. Той обсъжда и утвърждава предлаганата от Ректора и Академичния състав стратегия за развитие на висшето училище, приема предлагания от Ректора и Академичния състав бизнес план, приема годишните отчети на Ректора. Годишните отчети се обсъждат и от Общото събрание на висшето училище, както е посочено по-горе, като там се съобщават и препоръките и заключенията на Обществения съвет по тези документи. </w:t>
      </w:r>
    </w:p>
    <w:p w:rsidR="007F600E" w:rsidRDefault="007F600E" w:rsidP="007F600E">
      <w:pPr>
        <w:spacing w:before="100" w:beforeAutospacing="1"/>
      </w:pPr>
      <w:r>
        <w:t> </w:t>
      </w:r>
    </w:p>
    <w:p w:rsidR="007F600E" w:rsidRDefault="007F600E" w:rsidP="007F600E">
      <w:pPr>
        <w:spacing w:before="100" w:beforeAutospacing="1"/>
      </w:pPr>
      <w:r>
        <w:t>Общественият съвет е в следния състав: трима научно разпознаваеми професори от академичния състав на висшето училище, определени от Академичния съвет, двама професори, определени от Председателя на Българската академия на науките, един представител, определен в Комисията за наука и образование към Народното събрание, един представител, определен от Министъра на образованието и науката и двама представители, обсъдени в Общинския съвет и предложени от Кмета на общината, където се намира висшето училище. Този девет-членен съвет се председателства от професор от състава на висшето училище; заместник-председател е лице вън от академичния състав на висшето училище.</w:t>
      </w:r>
    </w:p>
    <w:p w:rsidR="007F600E" w:rsidRDefault="007F600E" w:rsidP="007F600E">
      <w:pPr>
        <w:spacing w:before="100" w:beforeAutospacing="1"/>
      </w:pPr>
      <w:r>
        <w:t> </w:t>
      </w:r>
    </w:p>
    <w:p w:rsidR="007F600E" w:rsidRDefault="007F600E" w:rsidP="007F600E">
      <w:pPr>
        <w:ind w:left="709"/>
      </w:pPr>
      <w:r>
        <w:t>            Как изглеждат годишните отчети на този съвет, върху примера на Университета в Хамбург, може да се види тук:</w:t>
      </w:r>
    </w:p>
    <w:p w:rsidR="007F600E" w:rsidRDefault="007F600E" w:rsidP="007F600E">
      <w:pPr>
        <w:ind w:left="709"/>
      </w:pPr>
      <w:hyperlink r:id="rId4" w:history="1">
        <w:r>
          <w:rPr>
            <w:rStyle w:val="Hyperlink"/>
            <w:lang w:val="en-US"/>
          </w:rPr>
          <w:t>https://www.uni-hamburg.de/uhh/organisation/gremien/hochschulrat/ge49.pdf</w:t>
        </w:r>
      </w:hyperlink>
    </w:p>
    <w:p w:rsidR="007F600E" w:rsidRDefault="007F600E" w:rsidP="007F600E">
      <w:pPr>
        <w:ind w:left="709"/>
      </w:pPr>
      <w:hyperlink r:id="rId5" w:history="1">
        <w:r>
          <w:rPr>
            <w:rStyle w:val="Hyperlink"/>
            <w:lang w:val="en-US"/>
          </w:rPr>
          <w:t>https://www.uni-hamburg.de/uhh/organisation/gremien/hochschulrat/ge50.pdf</w:t>
        </w:r>
      </w:hyperlink>
    </w:p>
    <w:p w:rsidR="007F600E" w:rsidRDefault="007F600E" w:rsidP="007F600E">
      <w:pPr>
        <w:ind w:left="709"/>
      </w:pPr>
      <w:hyperlink r:id="rId6" w:history="1">
        <w:r>
          <w:rPr>
            <w:rStyle w:val="Hyperlink"/>
            <w:lang w:val="en-US"/>
          </w:rPr>
          <w:t>https://www.uni-hamburg.de/uhh/organisation/gremien/hochschulrat/ge51.pdf</w:t>
        </w:r>
      </w:hyperlink>
    </w:p>
    <w:p w:rsidR="007F600E" w:rsidRDefault="007F600E" w:rsidP="007F600E">
      <w:pPr>
        <w:spacing w:before="100" w:beforeAutospacing="1"/>
      </w:pPr>
      <w:r>
        <w:rPr>
          <w:lang w:val="en-US"/>
        </w:rPr>
        <w:t> </w:t>
      </w:r>
    </w:p>
    <w:p w:rsidR="007F600E" w:rsidRDefault="007F600E" w:rsidP="007F600E">
      <w:pPr>
        <w:spacing w:before="100" w:beforeAutospacing="1"/>
      </w:pPr>
      <w:r>
        <w:t xml:space="preserve">Главната задача на Обществения съвет е да предложи </w:t>
      </w:r>
      <w:r>
        <w:rPr>
          <w:i/>
          <w:iCs/>
        </w:rPr>
        <w:t>новия ректор</w:t>
      </w:r>
      <w:r>
        <w:t xml:space="preserve"> на висшето училище. Това трябва да стане примерно два месеца преди приключване на мандата на ректора на висшето училище. Предлагат се двама професори от една и съща научна област от академичния състав на висшето училище или вън от него (от друго висше училище в страната или чужбина). Примерно, ако ректорът, чийто мандат изтича, е от природните науки, то направените предложения трябва да бъдат за професори от обществените и хуманитарните науки.</w:t>
      </w:r>
    </w:p>
    <w:p w:rsidR="007F600E" w:rsidRDefault="007F600E" w:rsidP="007F600E">
      <w:pPr>
        <w:spacing w:before="100" w:beforeAutospacing="1"/>
      </w:pPr>
      <w:r>
        <w:t> </w:t>
      </w:r>
    </w:p>
    <w:p w:rsidR="007F600E" w:rsidRDefault="007F600E" w:rsidP="007F600E">
      <w:pPr>
        <w:spacing w:before="100" w:beforeAutospacing="1"/>
      </w:pPr>
      <w:r>
        <w:t>ИЗБОР И НАЗНАЧАВАНЕ НА НОВИЯ РЕКТОР</w:t>
      </w:r>
    </w:p>
    <w:p w:rsidR="007F600E" w:rsidRDefault="007F600E" w:rsidP="007F600E">
      <w:pPr>
        <w:spacing w:before="100" w:beforeAutospacing="1"/>
      </w:pPr>
      <w:r>
        <w:t xml:space="preserve">Има още една организационна университетска структура, която е само с едно задължение – да избере с абсолютно мнозинство (2/3 от състава) новия ректор. Тази структура е </w:t>
      </w:r>
      <w:r>
        <w:rPr>
          <w:i/>
          <w:iCs/>
        </w:rPr>
        <w:t>Събрание на научно доказалите се университетски професори</w:t>
      </w:r>
      <w:r>
        <w:t xml:space="preserve">. (При нашите условия се очаква, че това не са всички академични лица, които заемат академичната длъжност „професор“). А  в това събрание ще  членуват само професори, защото се знае, че „ректорът е първи между равните“, т.е. нормално е само „равните“ да избират „първия“. </w:t>
      </w:r>
    </w:p>
    <w:p w:rsidR="007F600E" w:rsidRDefault="007F600E" w:rsidP="007F600E">
      <w:pPr>
        <w:spacing w:before="100" w:beforeAutospacing="1"/>
      </w:pPr>
      <w:r>
        <w:t> </w:t>
      </w:r>
    </w:p>
    <w:p w:rsidR="007F600E" w:rsidRDefault="007F600E" w:rsidP="007F600E">
      <w:pPr>
        <w:spacing w:before="100" w:beforeAutospacing="1"/>
      </w:pPr>
      <w:r>
        <w:lastRenderedPageBreak/>
        <w:t xml:space="preserve">Вече съществува обективна възможност да се провери дали едно академично лице има или няма международна научна </w:t>
      </w:r>
      <w:proofErr w:type="spellStart"/>
      <w:r>
        <w:t>разпознаваемост</w:t>
      </w:r>
      <w:proofErr w:type="spellEnd"/>
      <w:r>
        <w:t xml:space="preserve">. Вторични литературни източници, където се извършва рефериране и индексиране на първични научни списания и книги, приети за тази цел след инспекция по научни и издателски критерии, дават такава информация. Проверката се прави безотказно и бързо и тези източници са три: </w:t>
      </w:r>
      <w:r>
        <w:rPr>
          <w:lang w:val="en-GB"/>
        </w:rPr>
        <w:t>Thomson Reuters (Web of Science) (</w:t>
      </w:r>
      <w:r>
        <w:t xml:space="preserve">САЩ), </w:t>
      </w:r>
      <w:r>
        <w:rPr>
          <w:lang w:val="en-GB"/>
        </w:rPr>
        <w:t>Elsevier (SCOPUS) (</w:t>
      </w:r>
      <w:r>
        <w:t xml:space="preserve">Европейски съюз) и </w:t>
      </w:r>
      <w:r>
        <w:rPr>
          <w:lang w:val="en-US"/>
        </w:rPr>
        <w:t>Google Scholar Citations (</w:t>
      </w:r>
      <w:r>
        <w:t xml:space="preserve">Международен вторичен литературен източник). </w:t>
      </w:r>
    </w:p>
    <w:p w:rsidR="007F600E" w:rsidRDefault="007F600E" w:rsidP="007F600E">
      <w:pPr>
        <w:spacing w:before="100" w:beforeAutospacing="1"/>
      </w:pPr>
      <w:r>
        <w:t> </w:t>
      </w:r>
    </w:p>
    <w:p w:rsidR="007F600E" w:rsidRDefault="007F600E" w:rsidP="007F600E">
      <w:pPr>
        <w:ind w:left="720"/>
      </w:pPr>
      <w:r>
        <w:t xml:space="preserve">            Вече са въведени около 70 </w:t>
      </w:r>
      <w:proofErr w:type="spellStart"/>
      <w:r>
        <w:t>наукометрични</w:t>
      </w:r>
      <w:proofErr w:type="spellEnd"/>
      <w:r>
        <w:t xml:space="preserve"> индикатора. Нито един от тях не дава информация за значимостта на дадено научно изследване и получените в него нови научни резултати. Има, обаче, поне два индикатора, която могат да се използват за целите на индивидуалната научна преценка – индексът на </w:t>
      </w:r>
      <w:proofErr w:type="spellStart"/>
      <w:r>
        <w:t>Хирш</w:t>
      </w:r>
      <w:proofErr w:type="spellEnd"/>
      <w:r>
        <w:t xml:space="preserve">, </w:t>
      </w:r>
      <w:r>
        <w:rPr>
          <w:lang w:val="en-US"/>
        </w:rPr>
        <w:t xml:space="preserve">h, </w:t>
      </w:r>
      <w:r>
        <w:t xml:space="preserve">индексът 10, </w:t>
      </w:r>
      <w:r>
        <w:rPr>
          <w:lang w:val="en-GB"/>
        </w:rPr>
        <w:t xml:space="preserve">i-10. </w:t>
      </w:r>
      <w:r>
        <w:t xml:space="preserve">Числото </w:t>
      </w:r>
      <w:r>
        <w:rPr>
          <w:lang w:val="en-GB"/>
        </w:rPr>
        <w:t xml:space="preserve">h </w:t>
      </w:r>
      <w:r>
        <w:t xml:space="preserve">дава броят на публикациите на даден автор, всяка от която е цитирана от други автори поне </w:t>
      </w:r>
      <w:r>
        <w:rPr>
          <w:lang w:val="en-GB"/>
        </w:rPr>
        <w:t xml:space="preserve">h </w:t>
      </w:r>
      <w:r>
        <w:t xml:space="preserve">пъти; числото </w:t>
      </w:r>
      <w:r>
        <w:rPr>
          <w:lang w:val="en-GB"/>
        </w:rPr>
        <w:t xml:space="preserve">i-10 </w:t>
      </w:r>
      <w:r>
        <w:t xml:space="preserve">дава броят на публикациите на даден автор, всяка от която е цитирана 10 или повече пъти. От тези дефиниции следва, че числените стойност на тези показатели доказват международната научна </w:t>
      </w:r>
      <w:proofErr w:type="spellStart"/>
      <w:r>
        <w:t>разпознаваемост</w:t>
      </w:r>
      <w:proofErr w:type="spellEnd"/>
      <w:r>
        <w:t xml:space="preserve"> на хората, имащи научна дейност. Абсурдно е да има професори, без значение каква е научната област, в която се проявяват, с </w:t>
      </w:r>
      <w:r>
        <w:rPr>
          <w:lang w:val="en-GB"/>
        </w:rPr>
        <w:t xml:space="preserve">h=0 </w:t>
      </w:r>
      <w:r>
        <w:t xml:space="preserve">или </w:t>
      </w:r>
      <w:r>
        <w:rPr>
          <w:lang w:val="en-GB"/>
        </w:rPr>
        <w:t xml:space="preserve">i-10=0. </w:t>
      </w:r>
      <w:r>
        <w:t>Това означава, че международната научна общност не разпознава тези хора като свои членове. Проблем на България е наличието на голям брой  академични лица с такива „нулеви“ показатели. Впрочем тяхното масирано присъствие в българските университети, особено в обществените и хуманитарните науки, е причината българските висши училища да не присъстват в световните университетски класации.</w:t>
      </w:r>
    </w:p>
    <w:p w:rsidR="007F600E" w:rsidRDefault="007F600E" w:rsidP="007F600E">
      <w:pPr>
        <w:ind w:left="720"/>
      </w:pPr>
      <w:r>
        <w:t> </w:t>
      </w:r>
    </w:p>
    <w:p w:rsidR="007F600E" w:rsidRDefault="007F600E" w:rsidP="007F600E">
      <w:pPr>
        <w:spacing w:before="100" w:beforeAutospacing="1"/>
      </w:pPr>
      <w:r>
        <w:t xml:space="preserve">И така предложенията за нов ректор от </w:t>
      </w:r>
      <w:r>
        <w:rPr>
          <w:i/>
          <w:iCs/>
        </w:rPr>
        <w:t>Обществения съвет</w:t>
      </w:r>
      <w:r>
        <w:t xml:space="preserve"> се внасят в </w:t>
      </w:r>
      <w:r>
        <w:rPr>
          <w:i/>
          <w:iCs/>
        </w:rPr>
        <w:t>Събранието на професорите</w:t>
      </w:r>
      <w:r>
        <w:t>, където се провежда таен избор. Резултатите от избора постъпват в Министерството на образованието и науката. Министърът на образованието и науката назначава новия ректор. Назначаването на Ректора от Министъра не е новост. За българското висше образование тази практика е продължила десетилетия съгласно Отдел Е на Закона за народното просвещение. При големи нередности във функционирането на висшето училище и нарушаване на обществения интерес Министърът на образованието и науката има правото (и задължението) да отстрани ректора. Тогава управлението на висшето училище се поема от Проректора със задължението в месец и половина срок да се проведе нов избор.</w:t>
      </w:r>
    </w:p>
    <w:p w:rsidR="000D08B8" w:rsidRPr="007F600E" w:rsidRDefault="007F600E">
      <w:pPr>
        <w:rPr>
          <w:lang w:val="en-US"/>
        </w:rPr>
      </w:pPr>
      <w:r>
        <w:rPr>
          <w:lang w:val="en-US"/>
        </w:rPr>
        <w:t xml:space="preserve"> </w:t>
      </w:r>
    </w:p>
    <w:sectPr w:rsidR="000D08B8" w:rsidRPr="007F600E" w:rsidSect="000D08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F600E"/>
    <w:rsid w:val="000D08B8"/>
    <w:rsid w:val="0021033A"/>
    <w:rsid w:val="007F60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600E"/>
    <w:pPr>
      <w:spacing w:after="0" w:line="240" w:lineRule="auto"/>
    </w:pPr>
    <w:rPr>
      <w:rFonts w:ascii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F600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103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uni-hamburg.de/uhh/organisation/gremien/hochschulrat/ge51.pdf" TargetMode="External"/><Relationship Id="rId5" Type="http://schemas.openxmlformats.org/officeDocument/2006/relationships/hyperlink" Target="https://www.uni-hamburg.de/uhh/organisation/gremien/hochschulrat/ge50.pdf" TargetMode="External"/><Relationship Id="rId4" Type="http://schemas.openxmlformats.org/officeDocument/2006/relationships/hyperlink" Target="https://www.uni-hamburg.de/uhh/organisation/gremien/hochschulrat/ge49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1883</Words>
  <Characters>10734</Characters>
  <Application>Microsoft Office Word</Application>
  <DocSecurity>0</DocSecurity>
  <Lines>89</Lines>
  <Paragraphs>25</Paragraphs>
  <ScaleCrop>false</ScaleCrop>
  <Company/>
  <LinksUpToDate>false</LinksUpToDate>
  <CharactersWithSpaces>12592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Larry</dc:creator>
  <cp:lastModifiedBy>Larry</cp:lastModifiedBy>
  <cp:revision>2</cp:revision>
  <dcterms:created xsi:type="dcterms:W3CDTF">2019-11-29T07:55:00Z</dcterms:created>
  <dcterms:modified xsi:type="dcterms:W3CDTF">2019-11-29T08:04:00Z</dcterms:modified>
</cp:coreProperties>
</file>